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"/>
        <w:jc w:val="center"/>
      </w:pPr>
      <w:r>
        <w:rPr>
          <w:b/>
          <w:bCs/>
          <w:color w:val="1B3A5C"/>
          <w:sz w:val="40"/>
          <w:szCs w:val="40"/>
        </w:rPr>
        <w:t xml:space="preserve">JORDAN SMITH III</w:t>
      </w:r>
    </w:p>
    <w:p>
      <w:pPr>
        <w:spacing w:after="20"/>
        <w:jc w:val="center"/>
      </w:pPr>
      <w:r>
        <w:rPr>
          <w:b/>
          <w:bCs/>
          <w:color w:val="4A5568"/>
          <w:sz w:val="21"/>
          <w:szCs w:val="21"/>
        </w:rPr>
        <w:t xml:space="preserve">PE, PMP, MBA  |  Executive Leadership Certificate, Cornell University</w:t>
      </w:r>
    </w:p>
    <w:p>
      <w:pPr>
        <w:spacing w:after="60"/>
        <w:jc w:val="center"/>
      </w:pPr>
      <w:r>
        <w:rPr>
          <w:color w:val="222222"/>
          <w:sz w:val="19"/>
          <w:szCs w:val="19"/>
        </w:rPr>
        <w:t xml:space="preserve">(513) 708-7390  |  jordan.smith.3rd@gmail.com  |  linkedin.com/in/jordansmith3rd</w:t>
      </w:r>
    </w:p>
    <w:p>
      <w:pPr>
        <w:keepNext/>
        <w:pBdr>
          <w:bottom w:val="single" w:color="1B3A5C" w:sz="6" w:space="1"/>
        </w:pBdr>
        <w:spacing w:after="60" w:before="140"/>
      </w:pPr>
      <w:r>
        <w:rPr>
          <w:b/>
          <w:bCs/>
          <w:color w:val="1B3A5C"/>
          <w:sz w:val="21"/>
          <w:szCs w:val="21"/>
        </w:rPr>
        <w:t xml:space="preserve">CANDIDATE OVERVIEW</w:t>
      </w:r>
    </w:p>
    <w:tbl>
      <w:tblPr>
        <w:tblW w:type="dxa" w:w="1022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8124"/>
      </w:tblGrid>
      <w:tr>
        <w:tc>
          <w:tcPr>
            <w:tcW w:type="dxa" w:w="2100"/>
            <w:tcBorders>
              <w:top w:val="single" w:color="C9D6E8" w:sz="4"/>
              <w:left w:val="single" w:color="C9D6E8" w:sz="4"/>
              <w:bottom w:val="single" w:color="C9D6E8" w:sz="4"/>
              <w:right w:val="single" w:color="C9D6E8" w:sz="4"/>
            </w:tcBorders>
            <w:shd w:fill="EEF3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b/>
                <w:bCs/>
                <w:color w:val="1B3A5C"/>
                <w:sz w:val="19"/>
                <w:szCs w:val="19"/>
              </w:rPr>
              <w:t xml:space="preserve">Focus Areas</w:t>
            </w:r>
          </w:p>
        </w:tc>
        <w:tc>
          <w:tcPr>
            <w:tcW w:type="dxa" w:w="8124"/>
            <w:tcBorders>
              <w:top w:val="single" w:color="C9D6E8" w:sz="4"/>
              <w:left w:val="single" w:color="C9D6E8" w:sz="4"/>
              <w:bottom w:val="single" w:color="C9D6E8" w:sz="4"/>
              <w:right w:val="single" w:color="C9D6E8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color w:val="222222"/>
                <w:sz w:val="19"/>
                <w:szCs w:val="19"/>
              </w:rPr>
              <w:t xml:space="preserve">Fulfillment &amp; Logistics  │  Industrial Automation  │  MHE / Systems Integration</w:t>
            </w:r>
          </w:p>
        </w:tc>
      </w:tr>
      <w:tr>
        <w:tc>
          <w:tcPr>
            <w:tcW w:type="dxa" w:w="2100"/>
            <w:tcBorders>
              <w:top w:val="single" w:color="C9D6E8" w:sz="4"/>
              <w:left w:val="single" w:color="C9D6E8" w:sz="4"/>
              <w:bottom w:val="single" w:color="C9D6E8" w:sz="4"/>
              <w:right w:val="single" w:color="C9D6E8" w:sz="4"/>
            </w:tcBorders>
            <w:shd w:fill="EEF3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b/>
                <w:bCs/>
                <w:color w:val="1B3A5C"/>
                <w:sz w:val="19"/>
                <w:szCs w:val="19"/>
              </w:rPr>
              <w:t xml:space="preserve">Core Strengths</w:t>
            </w:r>
          </w:p>
        </w:tc>
        <w:tc>
          <w:tcPr>
            <w:tcW w:type="dxa" w:w="8124"/>
            <w:tcBorders>
              <w:top w:val="single" w:color="C9D6E8" w:sz="4"/>
              <w:left w:val="single" w:color="C9D6E8" w:sz="4"/>
              <w:bottom w:val="single" w:color="C9D6E8" w:sz="4"/>
              <w:right w:val="single" w:color="C9D6E8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color w:val="222222"/>
                <w:sz w:val="19"/>
                <w:szCs w:val="19"/>
              </w:rPr>
              <w:t xml:space="preserve">Capital Program Leadership  │  Engineering Standards &amp; Governance  │  Post-Launch Performance</w:t>
            </w:r>
          </w:p>
        </w:tc>
      </w:tr>
      <w:tr>
        <w:tc>
          <w:tcPr>
            <w:tcW w:type="dxa" w:w="2100"/>
            <w:tcBorders>
              <w:top w:val="single" w:color="C9D6E8" w:sz="4"/>
              <w:left w:val="single" w:color="C9D6E8" w:sz="4"/>
              <w:bottom w:val="single" w:color="C9D6E8" w:sz="4"/>
              <w:right w:val="single" w:color="C9D6E8" w:sz="4"/>
            </w:tcBorders>
            <w:shd w:fill="EEF3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b/>
                <w:bCs/>
                <w:color w:val="1B3A5C"/>
                <w:sz w:val="19"/>
                <w:szCs w:val="19"/>
              </w:rPr>
              <w:t xml:space="preserve">Credentials</w:t>
            </w:r>
          </w:p>
        </w:tc>
        <w:tc>
          <w:tcPr>
            <w:tcW w:type="dxa" w:w="8124"/>
            <w:tcBorders>
              <w:top w:val="single" w:color="C9D6E8" w:sz="4"/>
              <w:left w:val="single" w:color="C9D6E8" w:sz="4"/>
              <w:bottom w:val="single" w:color="C9D6E8" w:sz="4"/>
              <w:right w:val="single" w:color="C9D6E8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color w:val="222222"/>
                <w:sz w:val="19"/>
                <w:szCs w:val="19"/>
              </w:rPr>
              <w:t xml:space="preserve">Professional Engineer (Active)  │  PMP  │  MBA  │  Cornell Executive Leadership Certificate</w:t>
            </w:r>
          </w:p>
        </w:tc>
      </w:tr>
      <w:tr>
        <w:tc>
          <w:tcPr>
            <w:tcW w:type="dxa" w:w="2100"/>
            <w:tcBorders>
              <w:top w:val="single" w:color="C9D6E8" w:sz="4"/>
              <w:left w:val="single" w:color="C9D6E8" w:sz="4"/>
              <w:bottom w:val="single" w:color="C9D6E8" w:sz="4"/>
              <w:right w:val="single" w:color="C9D6E8" w:sz="4"/>
            </w:tcBorders>
            <w:shd w:fill="EEF3FA" w:color="auto" w:val="clear"/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b/>
                <w:bCs/>
                <w:color w:val="1B3A5C"/>
                <w:sz w:val="19"/>
                <w:szCs w:val="19"/>
              </w:rPr>
              <w:t xml:space="preserve">Based</w:t>
            </w:r>
          </w:p>
        </w:tc>
        <w:tc>
          <w:tcPr>
            <w:tcW w:type="dxa" w:w="8124"/>
            <w:tcBorders>
              <w:top w:val="single" w:color="C9D6E8" w:sz="4"/>
              <w:left w:val="single" w:color="C9D6E8" w:sz="4"/>
              <w:bottom w:val="single" w:color="C9D6E8" w:sz="4"/>
              <w:right w:val="single" w:color="C9D6E8" w:sz="4"/>
            </w:tcBorders>
            <w:tcMar>
              <w:top w:type="dxa" w:w="50"/>
              <w:left w:type="dxa" w:w="100"/>
              <w:bottom w:type="dxa" w:w="50"/>
              <w:right w:type="dxa" w:w="100"/>
            </w:tcMar>
          </w:tcPr>
          <w:p>
            <w:r>
              <w:rPr>
                <w:color w:val="222222"/>
                <w:sz w:val="19"/>
                <w:szCs w:val="19"/>
              </w:rPr>
              <w:t xml:space="preserve">Cincinnati, OH</w:t>
            </w:r>
          </w:p>
        </w:tc>
      </w:tr>
    </w:tbl>
    <w:p>
      <w:pPr>
        <w:keepNext/>
        <w:pBdr>
          <w:bottom w:val="single" w:color="1B3A5C" w:sz="6" w:space="1"/>
        </w:pBdr>
        <w:spacing w:after="60" w:before="140"/>
      </w:pPr>
      <w:r>
        <w:rPr>
          <w:b/>
          <w:bCs/>
          <w:color w:val="1B3A5C"/>
          <w:sz w:val="21"/>
          <w:szCs w:val="21"/>
        </w:rPr>
        <w:t xml:space="preserve">PROFESSIONAL PROFILE</w:t>
      </w:r>
    </w:p>
    <w:p>
      <w:pPr>
        <w:spacing w:after="40"/>
      </w:pPr>
      <w:r>
        <w:rPr>
          <w:color w:val="222222"/>
          <w:sz w:val="19"/>
          <w:szCs w:val="19"/>
        </w:rPr>
        <w:t xml:space="preserve">Engineering and operations executive with 17 years of experience across energy, logistics, and technology leading large-scale capital programs and automated material handling systems. Leads a specialized rapid-response engineering team supporting a $1.5B+ automated material handling portfolio across Amazon’s North American fulfillment network, with $2B+ in annual throughput and ~$3.5M in direct OPEX accountability. Created frameworks — from vendor accountability programs to post-launch performance methodologies to facility handoff standards — that became permanent network-wide standard work. PE-licensed mechanical engineer with an MBA and PMP, combining hands-on technical depth, large-scale capital program ownership, and cross-functional organizational leadership.</w:t>
      </w:r>
    </w:p>
    <w:p>
      <w:pPr>
        <w:keepNext/>
        <w:pBdr>
          <w:bottom w:val="single" w:color="1B3A5C" w:sz="6" w:space="1"/>
        </w:pBdr>
        <w:spacing w:after="60" w:before="140"/>
      </w:pPr>
      <w:r>
        <w:rPr>
          <w:b/>
          <w:bCs/>
          <w:color w:val="1B3A5C"/>
          <w:sz w:val="21"/>
          <w:szCs w:val="21"/>
        </w:rPr>
        <w:t xml:space="preserve">CAREER-DEFINING ACHIEVEMENTS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222222"/>
          <w:sz w:val="19"/>
          <w:szCs w:val="19"/>
        </w:rPr>
        <w:t xml:space="preserve">$1.5B+ Capital Portfolio — </w:t>
      </w:r>
      <w:r>
        <w:rPr>
          <w:color w:val="222222"/>
          <w:sz w:val="19"/>
          <w:szCs w:val="19"/>
        </w:rPr>
        <w:t xml:space="preserve">Led engineering organizations supporting a $1.5B+ automated material handling portfolio and $2B+ in annual throughput across Amazon’s North American fulfillment network.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222222"/>
          <w:sz w:val="19"/>
          <w:szCs w:val="19"/>
        </w:rPr>
        <w:t xml:space="preserve">$63M Vendor Accountability Program — </w:t>
      </w:r>
      <w:r>
        <w:rPr>
          <w:color w:val="222222"/>
          <w:sz w:val="19"/>
          <w:szCs w:val="19"/>
        </w:rPr>
        <w:t xml:space="preserve">Designed and secured executive buy-in for a supplier corrective-action program that now covers 19 active initiatives and 6 OEM partners, with EU adoption and $63M in projected 15-year savings.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222222"/>
          <w:sz w:val="19"/>
          <w:szCs w:val="19"/>
        </w:rPr>
        <w:t xml:space="preserve">Network Engineering Standards — </w:t>
      </w:r>
      <w:r>
        <w:rPr>
          <w:color w:val="222222"/>
          <w:sz w:val="19"/>
          <w:szCs w:val="19"/>
        </w:rPr>
        <w:t xml:space="preserve">Created frameworks adopted as permanent standard work: a conveyor performance playbook (15 sites, 6,687 units/hr gain), a post-launch handoff framework (100% regional adoption in 2 months), and network-wide electrical safety protocols.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222222"/>
          <w:sz w:val="19"/>
          <w:szCs w:val="19"/>
        </w:rPr>
        <w:t xml:space="preserve">$45M+ Cost Avoidance — </w:t>
      </w:r>
      <w:r>
        <w:rPr>
          <w:color w:val="222222"/>
          <w:sz w:val="19"/>
          <w:szCs w:val="19"/>
        </w:rPr>
        <w:t xml:space="preserve">Challenged a flawed design assumption through empirical testing and rewrote clearance specifications: $9M immediate cost avoidance and $36M projected across future sites, shaping next-generation facility design.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222222"/>
          <w:sz w:val="19"/>
          <w:szCs w:val="19"/>
        </w:rPr>
        <w:t xml:space="preserve">91% On-Time Portfolio Delivery — </w:t>
      </w:r>
      <w:r>
        <w:rPr>
          <w:color w:val="222222"/>
          <w:sz w:val="19"/>
          <w:szCs w:val="19"/>
        </w:rPr>
        <w:t xml:space="preserve">Directed a $1B+, 11-site concurrent launch portfolio against an 85% regional baseline, including a first-of-a-kind $264M facility with no playbook, delivered to full operational capacity.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b/>
          <w:bCs/>
          <w:color w:val="222222"/>
          <w:sz w:val="19"/>
          <w:szCs w:val="19"/>
        </w:rPr>
        <w:t xml:space="preserve">Talent Organization Builder — </w:t>
      </w:r>
      <w:r>
        <w:rPr>
          <w:color w:val="222222"/>
          <w:sz w:val="19"/>
          <w:szCs w:val="19"/>
        </w:rPr>
        <w:t xml:space="preserve">Built and developed engineering organizations: 88 interviews, 10 promotions in 2.5 years, 35% diverse representation exceeding benchmarks, and a 23% year-over-year engagement improvement.</w:t>
      </w:r>
    </w:p>
    <w:p>
      <w:pPr>
        <w:keepNext/>
        <w:pBdr>
          <w:bottom w:val="single" w:color="1B3A5C" w:sz="6" w:space="1"/>
        </w:pBdr>
        <w:spacing w:after="60" w:before="140"/>
      </w:pPr>
      <w:r>
        <w:rPr>
          <w:b/>
          <w:bCs/>
          <w:color w:val="1B3A5C"/>
          <w:sz w:val="21"/>
          <w:szCs w:val="21"/>
        </w:rPr>
        <w:t xml:space="preserve">CAREER PROGRESSION</w:t>
      </w:r>
    </w:p>
    <w:p>
      <w:pPr>
        <w:tabs>
          <w:tab w:val="right" w:pos="10224"/>
        </w:tabs>
        <w:spacing w:after="30"/>
      </w:pPr>
      <w:r>
        <w:rPr>
          <w:b/>
          <w:bCs/>
          <w:color w:val="222222"/>
          <w:sz w:val="19"/>
          <w:szCs w:val="19"/>
        </w:rPr>
        <w:t xml:space="preserve">Senior Manager, Tiger Team</w:t>
      </w:r>
      <w:r>
        <w:rPr>
          <w:color w:val="4A5568"/>
          <w:sz w:val="19"/>
          <w:szCs w:val="19"/>
        </w:rPr>
        <w:t xml:space="preserve">  |  Amazon Global Engineering Services</w:t>
      </w:r>
      <w:r>
        <w:rPr>
          <w:b/>
          <w:bCs/>
          <w:color w:val="4A5568"/>
          <w:sz w:val="19"/>
          <w:szCs w:val="19"/>
        </w:rPr>
        <w:tab/>
        <w:t xml:space="preserve">Aug 2025 – Present</w:t>
      </w:r>
    </w:p>
    <w:p>
      <w:pPr>
        <w:tabs>
          <w:tab w:val="right" w:pos="10224"/>
        </w:tabs>
        <w:spacing w:after="30"/>
      </w:pPr>
      <w:r>
        <w:rPr>
          <w:b/>
          <w:bCs/>
          <w:color w:val="222222"/>
          <w:sz w:val="19"/>
          <w:szCs w:val="19"/>
        </w:rPr>
        <w:t xml:space="preserve">Senior Manager, Performance Optimization</w:t>
      </w:r>
      <w:r>
        <w:rPr>
          <w:color w:val="4A5568"/>
          <w:sz w:val="19"/>
          <w:szCs w:val="19"/>
        </w:rPr>
        <w:t xml:space="preserve">  |  Amazon Global Engineering Services</w:t>
      </w:r>
      <w:r>
        <w:rPr>
          <w:b/>
          <w:bCs/>
          <w:color w:val="4A5568"/>
          <w:sz w:val="19"/>
          <w:szCs w:val="19"/>
        </w:rPr>
        <w:tab/>
        <w:t xml:space="preserve">Apr – Aug 2025</w:t>
      </w:r>
    </w:p>
    <w:p>
      <w:pPr>
        <w:tabs>
          <w:tab w:val="right" w:pos="10224"/>
        </w:tabs>
        <w:spacing w:after="30"/>
      </w:pPr>
      <w:r>
        <w:rPr>
          <w:b/>
          <w:bCs/>
          <w:color w:val="222222"/>
          <w:sz w:val="19"/>
          <w:szCs w:val="19"/>
        </w:rPr>
        <w:t xml:space="preserve">Senior Manager, Operations Engineering</w:t>
      </w:r>
      <w:r>
        <w:rPr>
          <w:color w:val="4A5568"/>
          <w:sz w:val="19"/>
          <w:szCs w:val="19"/>
        </w:rPr>
        <w:t xml:space="preserve">  |  Amazon Global Engineering Services</w:t>
      </w:r>
      <w:r>
        <w:rPr>
          <w:b/>
          <w:bCs/>
          <w:color w:val="4A5568"/>
          <w:sz w:val="19"/>
          <w:szCs w:val="19"/>
        </w:rPr>
        <w:tab/>
        <w:t xml:space="preserve">2022 – Apr 2025</w:t>
      </w:r>
    </w:p>
    <w:p>
      <w:pPr>
        <w:tabs>
          <w:tab w:val="right" w:pos="10224"/>
        </w:tabs>
        <w:spacing w:after="30"/>
      </w:pPr>
      <w:r>
        <w:rPr>
          <w:b/>
          <w:bCs/>
          <w:color w:val="222222"/>
          <w:sz w:val="19"/>
          <w:szCs w:val="19"/>
        </w:rPr>
        <w:t xml:space="preserve">Manager, Operations | North America</w:t>
      </w:r>
      <w:r>
        <w:rPr>
          <w:color w:val="4A5568"/>
          <w:sz w:val="19"/>
          <w:szCs w:val="19"/>
        </w:rPr>
        <w:t xml:space="preserve">  |  Amazon Lockers (Access Points)</w:t>
      </w:r>
      <w:r>
        <w:rPr>
          <w:b/>
          <w:bCs/>
          <w:color w:val="4A5568"/>
          <w:sz w:val="19"/>
          <w:szCs w:val="19"/>
        </w:rPr>
        <w:tab/>
        <w:t xml:space="preserve">2020 – 2022</w:t>
      </w:r>
    </w:p>
    <w:p>
      <w:pPr>
        <w:tabs>
          <w:tab w:val="right" w:pos="10224"/>
        </w:tabs>
        <w:spacing w:after="30"/>
      </w:pPr>
      <w:r>
        <w:rPr>
          <w:b/>
          <w:bCs/>
          <w:color w:val="222222"/>
          <w:sz w:val="19"/>
          <w:szCs w:val="19"/>
        </w:rPr>
        <w:t xml:space="preserve">Senior Program Manager, Operations</w:t>
      </w:r>
      <w:r>
        <w:rPr>
          <w:color w:val="4A5568"/>
          <w:sz w:val="19"/>
          <w:szCs w:val="19"/>
        </w:rPr>
        <w:t xml:space="preserve">  |  Amazon Last Mile</w:t>
      </w:r>
      <w:r>
        <w:rPr>
          <w:b/>
          <w:bCs/>
          <w:color w:val="4A5568"/>
          <w:sz w:val="19"/>
          <w:szCs w:val="19"/>
        </w:rPr>
        <w:tab/>
        <w:t xml:space="preserve">2019 – 2020</w:t>
      </w:r>
    </w:p>
    <w:p>
      <w:pPr>
        <w:tabs>
          <w:tab w:val="right" w:pos="10224"/>
        </w:tabs>
        <w:spacing w:after="30"/>
      </w:pPr>
      <w:r>
        <w:rPr>
          <w:b/>
          <w:bCs/>
          <w:color w:val="222222"/>
          <w:sz w:val="19"/>
          <w:szCs w:val="19"/>
        </w:rPr>
        <w:t xml:space="preserve">Operations Manager</w:t>
      </w:r>
      <w:r>
        <w:rPr>
          <w:color w:val="4A5568"/>
          <w:sz w:val="19"/>
          <w:szCs w:val="19"/>
        </w:rPr>
        <w:t xml:space="preserve">  |  Duke Energy Corporation</w:t>
      </w:r>
      <w:r>
        <w:rPr>
          <w:b/>
          <w:bCs/>
          <w:color w:val="4A5568"/>
          <w:sz w:val="19"/>
          <w:szCs w:val="19"/>
        </w:rPr>
        <w:tab/>
        <w:t xml:space="preserve">2017 – 2019</w:t>
      </w:r>
    </w:p>
    <w:p>
      <w:pPr>
        <w:tabs>
          <w:tab w:val="right" w:pos="10224"/>
        </w:tabs>
        <w:spacing w:after="30"/>
      </w:pPr>
      <w:r>
        <w:rPr>
          <w:b/>
          <w:bCs/>
          <w:color w:val="222222"/>
          <w:sz w:val="19"/>
          <w:szCs w:val="19"/>
        </w:rPr>
        <w:t xml:space="preserve">Senior Project Manager</w:t>
      </w:r>
      <w:r>
        <w:rPr>
          <w:color w:val="4A5568"/>
          <w:sz w:val="19"/>
          <w:szCs w:val="19"/>
        </w:rPr>
        <w:t xml:space="preserve">  |  Duke Energy Corporation</w:t>
      </w:r>
      <w:r>
        <w:rPr>
          <w:b/>
          <w:bCs/>
          <w:color w:val="4A5568"/>
          <w:sz w:val="19"/>
          <w:szCs w:val="19"/>
        </w:rPr>
        <w:tab/>
        <w:t xml:space="preserve">2014 – 2017</w:t>
      </w:r>
    </w:p>
    <w:p>
      <w:pPr>
        <w:tabs>
          <w:tab w:val="right" w:pos="10224"/>
        </w:tabs>
        <w:spacing w:after="30"/>
      </w:pPr>
      <w:r>
        <w:rPr>
          <w:b/>
          <w:bCs/>
          <w:color w:val="222222"/>
          <w:sz w:val="19"/>
          <w:szCs w:val="19"/>
        </w:rPr>
        <w:t xml:space="preserve">Process Operations Lead</w:t>
      </w:r>
      <w:r>
        <w:rPr>
          <w:color w:val="4A5568"/>
          <w:sz w:val="19"/>
          <w:szCs w:val="19"/>
        </w:rPr>
        <w:t xml:space="preserve">  |  Jacobs Engineering</w:t>
      </w:r>
      <w:r>
        <w:rPr>
          <w:b/>
          <w:bCs/>
          <w:color w:val="4A5568"/>
          <w:sz w:val="19"/>
          <w:szCs w:val="19"/>
        </w:rPr>
        <w:tab/>
        <w:t xml:space="preserve">2012 – 2014</w:t>
      </w:r>
    </w:p>
    <w:p>
      <w:pPr>
        <w:tabs>
          <w:tab w:val="right" w:pos="10224"/>
        </w:tabs>
        <w:spacing w:after="30"/>
      </w:pPr>
      <w:r>
        <w:rPr>
          <w:b/>
          <w:bCs/>
          <w:color w:val="222222"/>
          <w:sz w:val="19"/>
          <w:szCs w:val="19"/>
        </w:rPr>
        <w:t xml:space="preserve">Project Engineer II → Project Engineer I</w:t>
      </w:r>
      <w:r>
        <w:rPr>
          <w:color w:val="4A5568"/>
          <w:sz w:val="19"/>
          <w:szCs w:val="19"/>
        </w:rPr>
        <w:t xml:space="preserve">  |  Duke Energy Corporation</w:t>
      </w:r>
      <w:r>
        <w:rPr>
          <w:b/>
          <w:bCs/>
          <w:color w:val="4A5568"/>
          <w:sz w:val="19"/>
          <w:szCs w:val="19"/>
        </w:rPr>
        <w:tab/>
        <w:t xml:space="preserve">2009 – 2012</w:t>
      </w:r>
    </w:p>
    <w:p>
      <w:pPr>
        <w:keepNext/>
        <w:pBdr>
          <w:bottom w:val="single" w:color="1B3A5C" w:sz="6" w:space="1"/>
        </w:pBdr>
        <w:spacing w:after="60" w:before="140"/>
      </w:pPr>
      <w:r>
        <w:rPr>
          <w:b/>
          <w:bCs/>
          <w:color w:val="1B3A5C"/>
          <w:sz w:val="21"/>
          <w:szCs w:val="21"/>
        </w:rPr>
        <w:t xml:space="preserve">EDUCATION &amp; CREDENTIALS</w:t>
      </w:r>
    </w:p>
    <w:p>
      <w:pPr>
        <w:spacing w:after="20"/>
      </w:pPr>
      <w:r>
        <w:rPr>
          <w:color w:val="222222"/>
          <w:sz w:val="19"/>
          <w:szCs w:val="19"/>
        </w:rPr>
        <w:t xml:space="preserve">MBA — North Carolina State University  |  B.S. Mechanical Engineering — University of Cincinnati</w:t>
      </w:r>
    </w:p>
    <w:p>
      <w:pPr>
        <w:spacing w:after="20"/>
      </w:pPr>
      <w:r>
        <w:rPr>
          <w:color w:val="222222"/>
          <w:sz w:val="19"/>
          <w:szCs w:val="19"/>
        </w:rPr>
        <w:t xml:space="preserve">Executive Leadership Certificate — Cornell University (2023)</w:t>
      </w:r>
    </w:p>
    <w:p>
      <w:pPr>
        <w:spacing w:after="0"/>
      </w:pPr>
      <w:r>
        <w:rPr>
          <w:color w:val="222222"/>
          <w:sz w:val="19"/>
          <w:szCs w:val="19"/>
        </w:rPr>
        <w:t xml:space="preserve">Professional Engineer (PE), Active License #043283  |  Project Management Professional (PMP), Active #2010420</w:t>
      </w:r>
    </w:p>
    <w:sectPr>
      <w:pgSz w:w="12240" w:h="15840" w:orient="portrait"/>
      <w:pgMar w:top="720" w:right="1008" w:bottom="720" w:left="100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19"/>
        <w:szCs w:val="19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Jordan Smith III - Executive Brief</dc:title>
  <dc:creator>Jordan Smith III</dc:creator>
  <cp:lastModifiedBy>Un-named</cp:lastModifiedBy>
  <cp:revision>1</cp:revision>
  <dcterms:created xsi:type="dcterms:W3CDTF">2026-10-10T21:52:18.357Z</dcterms:created>
  <dcterms:modified xsi:type="dcterms:W3CDTF">2026-10-10T21:52:18.358Z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